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489" w:rsidRPr="00FC7489" w:rsidRDefault="00FC7489" w:rsidP="00FC7489">
      <w:pPr>
        <w:bidi/>
        <w:spacing w:before="100" w:beforeAutospacing="1" w:after="0" w:line="240" w:lineRule="auto"/>
        <w:ind w:firstLine="75"/>
        <w:jc w:val="center"/>
        <w:rPr>
          <w:rFonts w:ascii="Times New Roman" w:eastAsia="Times New Roman" w:hAnsi="Times New Roman" w:cs="Times New Roman"/>
          <w:color w:val="002060"/>
          <w:sz w:val="27"/>
          <w:szCs w:val="27"/>
        </w:rPr>
      </w:pPr>
      <w:r w:rsidRPr="00FC7489">
        <w:rPr>
          <w:rFonts w:ascii="Traditional Arabic" w:eastAsia="Times New Roman" w:hAnsi="Traditional Arabic" w:cs="Traditional Arabic"/>
          <w:b/>
          <w:bCs/>
          <w:color w:val="002060"/>
          <w:sz w:val="48"/>
          <w:szCs w:val="48"/>
          <w:rtl/>
        </w:rPr>
        <w:t>مفتي الشافعية في مكة الشيخ أحمد زيني دحلان</w:t>
      </w:r>
      <w:r w:rsidRPr="00FC7489">
        <w:rPr>
          <w:rFonts w:ascii="Traditional Arabic" w:eastAsia="Times New Roman" w:hAnsi="Traditional Arabic" w:cs="Traditional Arabic"/>
          <w:b/>
          <w:bCs/>
          <w:color w:val="002060"/>
          <w:szCs w:val="48"/>
          <w:rtl/>
        </w:rPr>
        <w:t> </w:t>
      </w:r>
      <w:r w:rsidRPr="00FC7489">
        <w:rPr>
          <w:rFonts w:ascii="Traditional Arabic" w:eastAsia="Times New Roman" w:hAnsi="Traditional Arabic" w:cs="Traditional Arabic"/>
          <w:b/>
          <w:bCs/>
          <w:color w:val="002060"/>
          <w:sz w:val="48"/>
          <w:szCs w:val="48"/>
          <w:rtl/>
        </w:rPr>
        <w:t>وقوله في محمد ابن عبدالوهاب قرن الشيطان</w:t>
      </w:r>
      <w:r w:rsidRPr="00FC7489">
        <w:rPr>
          <w:rFonts w:ascii="Traditional Arabic" w:eastAsia="Times New Roman" w:hAnsi="Traditional Arabic" w:cs="Traditional Arabic"/>
          <w:b/>
          <w:bCs/>
          <w:color w:val="002060"/>
          <w:sz w:val="48"/>
          <w:szCs w:val="48"/>
          <w:rtl/>
        </w:rPr>
        <w:br/>
        <w:t> </w:t>
      </w:r>
    </w:p>
    <w:p w:rsidR="00FC7489" w:rsidRPr="00FC7489" w:rsidRDefault="00FC7489" w:rsidP="00FC7489">
      <w:pPr>
        <w:spacing w:after="0" w:line="240" w:lineRule="auto"/>
        <w:ind w:firstLine="75"/>
        <w:jc w:val="center"/>
        <w:rPr>
          <w:rFonts w:ascii="Traditional Arabic" w:eastAsia="Times New Roman" w:hAnsi="Traditional Arabic" w:cs="Traditional Arabic"/>
          <w:color w:val="002060"/>
          <w:sz w:val="48"/>
          <w:szCs w:val="48"/>
          <w:rtl/>
        </w:rPr>
      </w:pPr>
      <w:r w:rsidRPr="00FC7489">
        <w:rPr>
          <w:rFonts w:ascii="Traditional Arabic" w:eastAsia="Times New Roman" w:hAnsi="Traditional Arabic" w:cs="Traditional Arabic"/>
          <w:b/>
          <w:bCs/>
          <w:color w:val="002060"/>
          <w:sz w:val="48"/>
          <w:szCs w:val="48"/>
          <w:rtl/>
        </w:rPr>
        <w:t>بسم الله الرحمن الرحيم</w:t>
      </w:r>
    </w:p>
    <w:p w:rsidR="00FC7489" w:rsidRPr="00FC7489" w:rsidRDefault="00FC7489" w:rsidP="00FC7489">
      <w:pPr>
        <w:bidi/>
        <w:spacing w:before="100" w:beforeAutospacing="1" w:after="100" w:afterAutospacing="1" w:line="240" w:lineRule="auto"/>
        <w:ind w:firstLine="75"/>
        <w:jc w:val="center"/>
        <w:rPr>
          <w:rFonts w:ascii="Times New Roman" w:eastAsia="Times New Roman" w:hAnsi="Times New Roman" w:cs="Times New Roman"/>
          <w:color w:val="002060"/>
          <w:sz w:val="27"/>
          <w:szCs w:val="27"/>
        </w:rPr>
      </w:pPr>
      <w:r w:rsidRPr="00FC7489">
        <w:rPr>
          <w:rFonts w:ascii="Traditional Arabic" w:eastAsia="Times New Roman" w:hAnsi="Traditional Arabic" w:cs="Traditional Arabic"/>
          <w:b/>
          <w:bCs/>
          <w:color w:val="002060"/>
          <w:sz w:val="48"/>
          <w:szCs w:val="48"/>
          <w:rtl/>
        </w:rPr>
        <w:t>الحمد لله ولي الصالحين، وأشهد أن لا إله إلا الله وحده لا شريك له، إله الأولين والآخرين، وأشهد أن نبينا محمدًا عبده ورسوله سيد الخلق أجمعين، اللهم صلِّ وسلم وبارك عليه وعلى آله وأصحابه والتابعين, وبعد</w:t>
      </w:r>
      <w:r w:rsidRPr="00FC7489">
        <w:rPr>
          <w:rFonts w:ascii="Traditional Arabic" w:eastAsia="Times New Roman" w:hAnsi="Traditional Arabic" w:cs="Traditional Arabic"/>
          <w:b/>
          <w:bCs/>
          <w:color w:val="002060"/>
          <w:sz w:val="48"/>
          <w:szCs w:val="48"/>
          <w:rtl/>
        </w:rPr>
        <w:br/>
      </w:r>
      <w:r w:rsidRPr="00FC7489">
        <w:rPr>
          <w:rFonts w:ascii="Traditional Arabic" w:eastAsia="Times New Roman" w:hAnsi="Traditional Arabic" w:cs="Traditional Arabic"/>
          <w:b/>
          <w:bCs/>
          <w:color w:val="002060"/>
          <w:sz w:val="48"/>
          <w:szCs w:val="48"/>
          <w:rtl/>
        </w:rPr>
        <w:br/>
        <w:t>مفتي الشافعية في مكة الشيخ أحمد زيني دحلان</w:t>
      </w:r>
    </w:p>
    <w:p w:rsidR="00FC7489" w:rsidRPr="00FC7489" w:rsidRDefault="00FC7489" w:rsidP="00FC7489">
      <w:pPr>
        <w:bidi/>
        <w:spacing w:before="100" w:beforeAutospacing="1" w:after="0" w:line="240" w:lineRule="auto"/>
        <w:ind w:firstLine="75"/>
        <w:jc w:val="center"/>
        <w:rPr>
          <w:rFonts w:ascii="Times New Roman" w:eastAsia="Times New Roman" w:hAnsi="Times New Roman" w:cs="Times New Roman"/>
          <w:color w:val="002060"/>
          <w:sz w:val="27"/>
          <w:szCs w:val="27"/>
          <w:rtl/>
        </w:rPr>
      </w:pPr>
      <w:r w:rsidRPr="00FC7489">
        <w:rPr>
          <w:rFonts w:ascii="Traditional Arabic" w:eastAsia="Times New Roman" w:hAnsi="Traditional Arabic" w:cs="Traditional Arabic"/>
          <w:b/>
          <w:bCs/>
          <w:color w:val="002060"/>
          <w:sz w:val="48"/>
          <w:szCs w:val="48"/>
          <w:rtl/>
        </w:rPr>
        <w:t>قال الشيخ أحمد زيني دحلان مفتي مكة في أواخر السلطنة العثمانية في تاريخه تحت فصل فتنة الوهابية،الفتوحات الاسلامية (٢/ ٦٦):</w:t>
      </w:r>
      <w:r w:rsidRPr="00FC7489">
        <w:rPr>
          <w:rFonts w:ascii="Traditional Arabic" w:eastAsia="Times New Roman" w:hAnsi="Traditional Arabic" w:cs="Traditional Arabic"/>
          <w:b/>
          <w:bCs/>
          <w:color w:val="002060"/>
          <w:sz w:val="48"/>
          <w:szCs w:val="48"/>
          <w:rtl/>
        </w:rPr>
        <w:br/>
        <w:t xml:space="preserve"> (كان -اي محمد بن عبد الوهاب - في ابتداء أمره من طلبة العلم في المدينة المنورة على ساكنها أفضل الصلاة والسلام، وكان أبوه رجلا صالحا من أهل العلم وكذا أخوه الشيخ سليمان، وكان أبوه وأخوه ومشايخه يتفرسون فيه أنه سيكون منه زيغ وضلال لما يشاهدونه من أقواله وأفعاله ونزغاته في كثير من المسائل، وكانوا يوبخونه ويحذّرون </w:t>
      </w:r>
      <w:r w:rsidRPr="00FC7489">
        <w:rPr>
          <w:rFonts w:ascii="Traditional Arabic" w:eastAsia="Times New Roman" w:hAnsi="Traditional Arabic" w:cs="Traditional Arabic"/>
          <w:b/>
          <w:bCs/>
          <w:color w:val="002060"/>
          <w:sz w:val="48"/>
          <w:szCs w:val="48"/>
          <w:rtl/>
        </w:rPr>
        <w:lastRenderedPageBreak/>
        <w:t>الناس منه، فحقق الله فراستهم فيه لما ابتدع ما ابتدعه من الزيغ والضلال الذي أغوى به الجاهلين وخالف فيه أئمة الدين، وتوصل بذلك إلى تكفير المؤمنين فزعم أن زيارة قبر النبي (صلّى الله عليه وسلّم) والتوسل به وبالأنبياء والأولياء والصالحين وزيارة قبورهم للتبّرك شرك، وأن نداء النبي (صلّى الله عليه وسلّم) عند التوسل به شرك، وكذا نداء غيره من الأنبياء والأولياء والصالحين عند التوسل بهم شرك، وأن من أسند شيئا لغير الله ولو على سبيل المجاز العقلي يكون مشركا نحو: نفعني هذا الدواء، وهذا الولي الفلاني عند التوسل به في شىء، وتمسك بأدلة لا تنتج له شيئًا من مرامه، وأتى بعبارات مزورة زخرفها ولبّس بها على العوام حتى تبعوه، وألف لهم في ذلك رسائل حتى اعتقدوا كفر كثر أهل التوحيد" ا.هـ.</w:t>
      </w:r>
      <w:r w:rsidRPr="00FC7489">
        <w:rPr>
          <w:rFonts w:ascii="Traditional Arabic" w:eastAsia="Times New Roman" w:hAnsi="Traditional Arabic" w:cs="Traditional Arabic"/>
          <w:b/>
          <w:bCs/>
          <w:color w:val="002060"/>
          <w:sz w:val="48"/>
          <w:szCs w:val="48"/>
          <w:rtl/>
        </w:rPr>
        <w:br/>
        <w:t>************</w:t>
      </w:r>
      <w:r w:rsidRPr="00FC7489">
        <w:rPr>
          <w:rFonts w:ascii="Traditional Arabic" w:eastAsia="Times New Roman" w:hAnsi="Traditional Arabic" w:cs="Traditional Arabic"/>
          <w:b/>
          <w:bCs/>
          <w:color w:val="002060"/>
          <w:sz w:val="48"/>
          <w:szCs w:val="48"/>
          <w:rtl/>
        </w:rPr>
        <w:br/>
        <w:t>إلى أن قال</w:t>
      </w:r>
      <w:r w:rsidRPr="00FC7489">
        <w:rPr>
          <w:rFonts w:ascii="Traditional Arabic" w:eastAsia="Times New Roman" w:hAnsi="Traditional Arabic" w:cs="Traditional Arabic"/>
          <w:b/>
          <w:bCs/>
          <w:color w:val="002060"/>
          <w:sz w:val="48"/>
          <w:szCs w:val="48"/>
          <w:rtl/>
        </w:rPr>
        <w:br/>
        <w:t> الفتوحات الاسلامية (٢/ ٦٧):</w:t>
      </w:r>
      <w:r w:rsidRPr="00FC7489">
        <w:rPr>
          <w:rFonts w:ascii="Traditional Arabic" w:eastAsia="Times New Roman" w:hAnsi="Traditional Arabic" w:cs="Traditional Arabic"/>
          <w:b/>
          <w:bCs/>
          <w:color w:val="002060"/>
          <w:szCs w:val="48"/>
          <w:rtl/>
        </w:rPr>
        <w:t> </w:t>
      </w:r>
      <w:r w:rsidRPr="00FC7489">
        <w:rPr>
          <w:rFonts w:ascii="Traditional Arabic" w:eastAsia="Times New Roman" w:hAnsi="Traditional Arabic" w:cs="Traditional Arabic"/>
          <w:b/>
          <w:bCs/>
          <w:color w:val="002060"/>
          <w:sz w:val="48"/>
          <w:szCs w:val="48"/>
          <w:rtl/>
        </w:rPr>
        <w:br/>
        <w:t xml:space="preserve">"وكان كثير من مشايخ ابن عبد الوهاب بالمدينة يقولون: سيضل هذا أو يضل الله به من أبعده وأشقاه، فكان الأمر كذلك. وزعم محمّد بن عبد الوهاب أن مراده بهذا المذهب الذي ابتدعه إخلاص التوحيد والتبري من </w:t>
      </w:r>
      <w:r w:rsidRPr="00FC7489">
        <w:rPr>
          <w:rFonts w:ascii="Traditional Arabic" w:eastAsia="Times New Roman" w:hAnsi="Traditional Arabic" w:cs="Traditional Arabic"/>
          <w:b/>
          <w:bCs/>
          <w:color w:val="002060"/>
          <w:sz w:val="48"/>
          <w:szCs w:val="48"/>
          <w:rtl/>
        </w:rPr>
        <w:lastRenderedPageBreak/>
        <w:t>الشرك، وأن الناس كانوا على الشرك منذ ستمائة سنة، وأنه جدّد للناس دينهم، وحمل الآيات القرءانية التي نزلت في المشركين على أهل التوحيد كقوله تعالى: ﴿وَمَنْ أَضَلُّ مِمَّن يَدْعُو مِن دُونِ اللَّهِ مَن لَّا يَسْتَجِيبُ لَهُ إِلَى يَومِ الْقِيَامَةِ وَهُمْ عَن دُعَائِهِمْ غَافِلُونَ﴾، (سورة الأحقاف/٥). وكقوله تعالى ﴿ وَلاَ تَدْعُ مِن دُونِ اللّهِ مَا لاَ يَنفَعُكَ وَلاَ يَضُرُّكَ فَإِن فَعَلْتَ فَإِنَّكَ إِذًا مِّنَ الظَّالِمِينَ﴾ (سورة يونس/١٠٦)، وكقوله تعالى ﴿وَالَّذِينَ يَدْعُونَ مِن دُونِهِ لاَ يَسْتَجِيبُونَ لَهُم بِشَيْءٍ﴾ (سورة الرعد/١٤). وأمثال هذه الآيات في القرءان كثيرة، فقال محمد بن عبد الوهاب: من استغاث بالنبي (صلّى الله عليه وسلّم) أو بغيره من الأنبياء والأولياء والصالحين أو ناداه أو سأله الشفاعة فإنه مثل هؤلاء المشركين ويدخل في عموم هذه الايات، وجعل زيارة قبر النبي (صلّى الله عليه وسلّم) وغيره من الأنبياء والأولياء والصالحين مثل ذلك- يعني للتبرّك- وقال في قوله تعالى حكاية عن المشركين في عبادة الأصنام: ﴿مَا نَعْبُدُهُمْ إِلَّا لِيُقَرِّبُونَا إِلَى اللَّهِ زُلْفَى﴾ (سورة الزمر/٣) إن المتوسلين مثل هؤلاء المشركين الذين يقولون: ﴿ مَا نَعْبُدُهُمْ إِلَّا لِيُقَرِّبُونَا إِلَى اللَّهِ زُلْفَى ﴾ (سورة الزمر/٣)" اهـ.</w:t>
      </w:r>
      <w:r w:rsidRPr="00FC7489">
        <w:rPr>
          <w:rFonts w:ascii="Traditional Arabic" w:eastAsia="Times New Roman" w:hAnsi="Traditional Arabic" w:cs="Traditional Arabic"/>
          <w:b/>
          <w:bCs/>
          <w:color w:val="002060"/>
          <w:sz w:val="48"/>
          <w:szCs w:val="48"/>
          <w:rtl/>
        </w:rPr>
        <w:br/>
        <w:t>************</w:t>
      </w:r>
      <w:r w:rsidRPr="00FC7489">
        <w:rPr>
          <w:rFonts w:ascii="Traditional Arabic" w:eastAsia="Times New Roman" w:hAnsi="Traditional Arabic" w:cs="Traditional Arabic"/>
          <w:b/>
          <w:bCs/>
          <w:color w:val="002060"/>
          <w:sz w:val="48"/>
          <w:szCs w:val="48"/>
          <w:rtl/>
        </w:rPr>
        <w:br/>
      </w:r>
      <w:r w:rsidRPr="00FC7489">
        <w:rPr>
          <w:rFonts w:ascii="Traditional Arabic" w:eastAsia="Times New Roman" w:hAnsi="Traditional Arabic" w:cs="Traditional Arabic"/>
          <w:b/>
          <w:bCs/>
          <w:color w:val="002060"/>
          <w:sz w:val="48"/>
          <w:szCs w:val="48"/>
          <w:rtl/>
        </w:rPr>
        <w:lastRenderedPageBreak/>
        <w:t>ثم قال</w:t>
      </w:r>
      <w:r w:rsidRPr="00FC7489">
        <w:rPr>
          <w:rFonts w:ascii="Traditional Arabic" w:eastAsia="Times New Roman" w:hAnsi="Traditional Arabic" w:cs="Traditional Arabic"/>
          <w:b/>
          <w:bCs/>
          <w:color w:val="002060"/>
          <w:szCs w:val="48"/>
          <w:rtl/>
        </w:rPr>
        <w:t> </w:t>
      </w:r>
      <w:r w:rsidRPr="00FC7489">
        <w:rPr>
          <w:rFonts w:ascii="Traditional Arabic" w:eastAsia="Times New Roman" w:hAnsi="Traditional Arabic" w:cs="Traditional Arabic"/>
          <w:b/>
          <w:bCs/>
          <w:color w:val="002060"/>
          <w:sz w:val="48"/>
          <w:szCs w:val="48"/>
          <w:rtl/>
        </w:rPr>
        <w:br/>
        <w:t>الفتوحات الاسلامية (٢/ ٦٨):</w:t>
      </w:r>
      <w:r w:rsidRPr="00FC7489">
        <w:rPr>
          <w:rFonts w:ascii="Traditional Arabic" w:eastAsia="Times New Roman" w:hAnsi="Traditional Arabic" w:cs="Traditional Arabic"/>
          <w:b/>
          <w:bCs/>
          <w:color w:val="002060"/>
          <w:szCs w:val="48"/>
          <w:rtl/>
        </w:rPr>
        <w:t> </w:t>
      </w:r>
      <w:r w:rsidRPr="00FC7489">
        <w:rPr>
          <w:rFonts w:ascii="Traditional Arabic" w:eastAsia="Times New Roman" w:hAnsi="Traditional Arabic" w:cs="Traditional Arabic"/>
          <w:b/>
          <w:bCs/>
          <w:color w:val="002060"/>
          <w:sz w:val="48"/>
          <w:szCs w:val="48"/>
          <w:rtl/>
        </w:rPr>
        <w:br/>
        <w:t>"روى البخاري عن عبد الله بن عمر رضي الله عنهما عن النبي (صلّى الله عليه وسلّم) في وصف الخوارج أنهم انطلقوا إلى ءايات نزلت في الكفار فحملوها على المؤمنين، وفي رواية عن ابن عمر أيضا أنه (صلّى الله عليه وسلّم) قال: "أخوف ما أخاف على أمتي رجل يتأول القرءان يضعه في غير موضعه" فهو وما قبله صادق على هذه الطائفة" ا.هـ.</w:t>
      </w:r>
      <w:r w:rsidRPr="00FC7489">
        <w:rPr>
          <w:rFonts w:ascii="Traditional Arabic" w:eastAsia="Times New Roman" w:hAnsi="Traditional Arabic" w:cs="Traditional Arabic"/>
          <w:b/>
          <w:bCs/>
          <w:color w:val="002060"/>
          <w:sz w:val="48"/>
          <w:szCs w:val="48"/>
          <w:rtl/>
        </w:rPr>
        <w:br/>
        <w:t>************</w:t>
      </w:r>
      <w:r w:rsidRPr="00FC7489">
        <w:rPr>
          <w:rFonts w:ascii="Traditional Arabic" w:eastAsia="Times New Roman" w:hAnsi="Traditional Arabic" w:cs="Traditional Arabic"/>
          <w:b/>
          <w:bCs/>
          <w:color w:val="002060"/>
          <w:sz w:val="48"/>
          <w:szCs w:val="48"/>
          <w:rtl/>
        </w:rPr>
        <w:br/>
        <w:t>ثم قال</w:t>
      </w:r>
      <w:r w:rsidRPr="00FC7489">
        <w:rPr>
          <w:rFonts w:ascii="Traditional Arabic" w:eastAsia="Times New Roman" w:hAnsi="Traditional Arabic" w:cs="Traditional Arabic"/>
          <w:b/>
          <w:bCs/>
          <w:color w:val="002060"/>
          <w:sz w:val="48"/>
          <w:szCs w:val="48"/>
          <w:rtl/>
        </w:rPr>
        <w:br/>
        <w:t> الفتوحات الاسلامية (٢/ ٦٩):</w:t>
      </w:r>
      <w:r w:rsidRPr="00FC7489">
        <w:rPr>
          <w:rFonts w:ascii="Traditional Arabic" w:eastAsia="Times New Roman" w:hAnsi="Traditional Arabic" w:cs="Traditional Arabic"/>
          <w:b/>
          <w:bCs/>
          <w:color w:val="002060"/>
          <w:szCs w:val="48"/>
          <w:rtl/>
        </w:rPr>
        <w:t> </w:t>
      </w:r>
      <w:r w:rsidRPr="00FC7489">
        <w:rPr>
          <w:rFonts w:ascii="Traditional Arabic" w:eastAsia="Times New Roman" w:hAnsi="Traditional Arabic" w:cs="Traditional Arabic"/>
          <w:b/>
          <w:bCs/>
          <w:color w:val="002060"/>
          <w:sz w:val="48"/>
          <w:szCs w:val="48"/>
          <w:rtl/>
        </w:rPr>
        <w:br/>
        <w:t>"وممن ألف في الرد على ابن عبد الوهاب أكبر مشايخه وهو الشيخ محمد بن سليمان الكردي مؤلف حواشي شرح ابن حجر على متن بافضل (٥)، فقال من جملة كلامه: "يا ابن عبد الوهاب إني أنصحك أن تكف لسانك عن المسلمين" اهـ.</w:t>
      </w:r>
      <w:r w:rsidRPr="00FC7489">
        <w:rPr>
          <w:rFonts w:ascii="Traditional Arabic" w:eastAsia="Times New Roman" w:hAnsi="Traditional Arabic" w:cs="Traditional Arabic"/>
          <w:b/>
          <w:bCs/>
          <w:color w:val="002060"/>
          <w:sz w:val="48"/>
          <w:szCs w:val="48"/>
          <w:rtl/>
        </w:rPr>
        <w:br/>
        <w:t xml:space="preserve">ثم قال الشيخ أحمد زيني دحلان الفتوحات الاسلامية (٢/ ٧٧): "ويمنعون من الصلاة على النبي (صلّى الله عليه وسلّم) على المنائر بعد الأذان حتى إن رجلاً صالحا كان أعمى وكان مؤذنا وصلى على النبي </w:t>
      </w:r>
      <w:r w:rsidRPr="00FC7489">
        <w:rPr>
          <w:rFonts w:ascii="Traditional Arabic" w:eastAsia="Times New Roman" w:hAnsi="Traditional Arabic" w:cs="Traditional Arabic"/>
          <w:b/>
          <w:bCs/>
          <w:color w:val="002060"/>
          <w:sz w:val="48"/>
          <w:szCs w:val="48"/>
          <w:rtl/>
        </w:rPr>
        <w:lastRenderedPageBreak/>
        <w:t>(صلّى الله عليه وسلّم) بعد الأذان بعد أن كان المنع منهم، فأتوا به إلى محمد بن عبد الوهاب فأمر به أن يقتل فقتل. ولو تتبعت لك ما كانوا يفعلونه من أمثال ذلك لملأت الدفاتر والأوراق وفي هذا القدر كفاية" ا. هـ.</w:t>
      </w:r>
      <w:r w:rsidRPr="00FC7489">
        <w:rPr>
          <w:rFonts w:ascii="Traditional Arabic" w:eastAsia="Times New Roman" w:hAnsi="Traditional Arabic" w:cs="Traditional Arabic"/>
          <w:b/>
          <w:bCs/>
          <w:color w:val="002060"/>
          <w:sz w:val="48"/>
          <w:szCs w:val="48"/>
          <w:rtl/>
        </w:rPr>
        <w:br/>
        <w:t>************</w:t>
      </w:r>
      <w:r w:rsidRPr="00FC7489">
        <w:rPr>
          <w:rFonts w:ascii="Traditional Arabic" w:eastAsia="Times New Roman" w:hAnsi="Traditional Arabic" w:cs="Traditional Arabic"/>
          <w:b/>
          <w:bCs/>
          <w:color w:val="002060"/>
          <w:sz w:val="48"/>
          <w:szCs w:val="48"/>
          <w:rtl/>
        </w:rPr>
        <w:br/>
        <w:t>وقال الشيخ أحمد زيني دحلان ما نصه في الدرر السنية في الرد على الوهابية (ص/ ٤٢- ٤٣):</w:t>
      </w:r>
      <w:r w:rsidRPr="00FC7489">
        <w:rPr>
          <w:rFonts w:ascii="Traditional Arabic" w:eastAsia="Times New Roman" w:hAnsi="Traditional Arabic" w:cs="Traditional Arabic"/>
          <w:b/>
          <w:bCs/>
          <w:color w:val="002060"/>
          <w:szCs w:val="48"/>
          <w:rtl/>
        </w:rPr>
        <w:t> </w:t>
      </w:r>
      <w:r w:rsidRPr="00FC7489">
        <w:rPr>
          <w:rFonts w:ascii="Traditional Arabic" w:eastAsia="Times New Roman" w:hAnsi="Traditional Arabic" w:cs="Traditional Arabic"/>
          <w:b/>
          <w:bCs/>
          <w:color w:val="002060"/>
          <w:sz w:val="48"/>
          <w:szCs w:val="48"/>
          <w:rtl/>
        </w:rPr>
        <w:t xml:space="preserve">"كان محمد بن عبد الوهاب الذي ابتدع هذه البدعة يخطب للجمعة في مسجد الدرعية ويقول في كل خطبه: " ومن توسل بالنبي فقد كفر"، وكان أخوه الشيخ سليمان بن عبد الوهاب من أهل العلم، فكان ينكر عليه إنكارا شديدا في كل ما يفعله أو يأمر به ولم يتبعه في شىء مما ابتدعه، وقال له أخوه سليمان يوما: كم أركان الإسلام يا محمد بن عبد الوهاب؟ فقال خمسة، فقال: أنت جعلتها ستة، السادس: من لم يتبعك فليس بمسلم هذا عندك ركن سادس للإسلام. وقال رجل ءاخر يوما لمحمد بن عبد الوهاب: كم يعتق الله كل ليلة في رمضان؟ فقال له: يعتق في كل ليلة مائة ألف، وفي ءاخر ليلة يعتق مثل ما أعتق في الشهر كله، فقال له: لم يبلغ من اتبعك عشر عشر ما ذكرت فمن هؤلاء المسلمون الذين يعتقهم الله تعالى وقد حصرت </w:t>
      </w:r>
      <w:r w:rsidRPr="00FC7489">
        <w:rPr>
          <w:rFonts w:ascii="Traditional Arabic" w:eastAsia="Times New Roman" w:hAnsi="Traditional Arabic" w:cs="Traditional Arabic"/>
          <w:b/>
          <w:bCs/>
          <w:color w:val="002060"/>
          <w:sz w:val="48"/>
          <w:szCs w:val="48"/>
          <w:rtl/>
        </w:rPr>
        <w:lastRenderedPageBreak/>
        <w:t xml:space="preserve">المسلمين فيك وفيمن اتبعك، فبهت الذي كفر. ولما طال النزاع بينه وبين أخيه خاف أخوه أن يأمر بقتله فارتحل إلى المدينة المنورة وألف رسالة في الرد عليه وأرسلها له فلم ينته. وألف كثير من علماء الحنابلة وغيرهم رسائل في الرد عليه وأرسلوها له فلم ينته. وقال له رجل ءاخر مرة وكان رئيسا على قبيلة بحيث إنه لا يقدر أن يسطو عليه: ما تقول إذا أخبرك رجل صادق ذو دين وأمانة وأنت تعرف صدقه بأن قومًا كثيرين قصدوك وهم وراء الجبل الفلاني فأرسلت ألف خيال ينظرون القوم الذين وراء الجبل فلم يجدوا أثرًا ولا أحدا منهم، بل ما جاء تلك الأرض أحد منهم أتصدق الألف أم الواحد الصادق عندك؟ فقال: أصدق الألف، فقال له: إن جميع المسلمين من العلماء الأحياء والأموات في كتبهم يكذّبون ما أتيت به ويزيفونه فنصدقهم ونكذبك، فلم يعرف جوابا لذلك. وقال له رجل ءاخر مرة: هذا الدين الذي جئت به متصل أم منفصل؟ فقال له حتى مشايخي ومشايخهم إلى ستمائة سنة كلهم مشركون، فقال له الرجل: إذن دينك منفصل لا متصل، فعمّن أخذته؟ فقال: وحي إلهام كالخضر، فقال له: إذن ليس ذلك محصورًا فيك، كل أحد يمكنه أن يدعي وحي الإلهام الذي تدعيه، ثم قال له: إن التوسل مجمع عليه عند أهل السنة حتى ابن تيمية فإنه ذكر فيه وجهين ولم يذكر أن فاعله </w:t>
      </w:r>
      <w:r w:rsidRPr="00FC7489">
        <w:rPr>
          <w:rFonts w:ascii="Traditional Arabic" w:eastAsia="Times New Roman" w:hAnsi="Traditional Arabic" w:cs="Traditional Arabic"/>
          <w:b/>
          <w:bCs/>
          <w:color w:val="002060"/>
          <w:sz w:val="48"/>
          <w:szCs w:val="48"/>
          <w:rtl/>
        </w:rPr>
        <w:lastRenderedPageBreak/>
        <w:t>يكفر". اهـ.</w:t>
      </w:r>
      <w:r w:rsidRPr="00FC7489">
        <w:rPr>
          <w:rFonts w:ascii="Traditional Arabic" w:eastAsia="Times New Roman" w:hAnsi="Traditional Arabic" w:cs="Traditional Arabic"/>
          <w:b/>
          <w:bCs/>
          <w:color w:val="002060"/>
          <w:sz w:val="48"/>
          <w:szCs w:val="48"/>
          <w:rtl/>
        </w:rPr>
        <w:br/>
        <w:t>ويعني محمد بن عبد الوهاب بالستمائة سنة القرن الذي كان فيه ابن تيمية وهو السابع إلى الثامن الذي توفي فيه ابن تيمية إلى القرن الثاني عشر. وهي التي كان يقول فيها محمد بن عبد الوهاب إن الناس فيها كانوا مشركين وإنه هو الذي جاء بالتوحيد ويعتبر ابن تيمية جاء بقريب من دعوته في عصره، كأنه يعتبره قام في عصر انقرض فيه الإسلام والتوحيد فدعا إلى التوحيد وكان هو التالي له في عصره الذي كان فيه وهو القرن الثاني عشر الهجري. فهذه جرأة غريبة من هذا الرجل الذي كقر مئات الملايين من أهل السنّة وحصر الإسلام في أتباعه، وكانوا في عصره لا يتجاوز عددهم نحو المائة ألف. وأهل نجد الحجاز الذي هو وطنه لم يأخذ أكثرهم بعقيدته في حياته وإنما كان الناس يخافون منه لما علموا من سيرته لأنه كان يسفك دماء من لم يتبعه.</w:t>
      </w:r>
    </w:p>
    <w:p w:rsidR="00FC7489" w:rsidRPr="00FC7489" w:rsidRDefault="00FC7489" w:rsidP="00FC7489">
      <w:pPr>
        <w:bidi/>
        <w:spacing w:before="100" w:beforeAutospacing="1" w:after="0" w:line="240" w:lineRule="auto"/>
        <w:ind w:firstLine="75"/>
        <w:jc w:val="center"/>
        <w:rPr>
          <w:rFonts w:ascii="Times New Roman" w:eastAsia="Times New Roman" w:hAnsi="Times New Roman" w:cs="Times New Roman"/>
          <w:color w:val="002060"/>
          <w:sz w:val="27"/>
          <w:szCs w:val="27"/>
          <w:rtl/>
        </w:rPr>
      </w:pPr>
      <w:r w:rsidRPr="00FC7489">
        <w:rPr>
          <w:rFonts w:ascii="Times New Roman" w:eastAsia="Times New Roman" w:hAnsi="Times New Roman" w:cs="Times New Roman"/>
          <w:color w:val="002060"/>
          <w:sz w:val="27"/>
          <w:szCs w:val="27"/>
          <w:rtl/>
        </w:rPr>
        <w:t> </w:t>
      </w:r>
    </w:p>
    <w:p w:rsidR="008B6A3B" w:rsidRPr="00FC7489" w:rsidRDefault="008B6A3B">
      <w:pPr>
        <w:rPr>
          <w:color w:val="002060"/>
        </w:rPr>
      </w:pPr>
    </w:p>
    <w:sectPr w:rsidR="008B6A3B" w:rsidRPr="00FC7489" w:rsidSect="008B6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623"/>
    <w:rsid w:val="008B6A3B"/>
    <w:rsid w:val="00AC7623"/>
    <w:rsid w:val="00FC74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7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7489"/>
  </w:style>
</w:styles>
</file>

<file path=word/webSettings.xml><?xml version="1.0" encoding="utf-8"?>
<w:webSettings xmlns:r="http://schemas.openxmlformats.org/officeDocument/2006/relationships" xmlns:w="http://schemas.openxmlformats.org/wordprocessingml/2006/main">
  <w:divs>
    <w:div w:id="450707191">
      <w:bodyDiv w:val="1"/>
      <w:marLeft w:val="0"/>
      <w:marRight w:val="0"/>
      <w:marTop w:val="0"/>
      <w:marBottom w:val="0"/>
      <w:divBdr>
        <w:top w:val="none" w:sz="0" w:space="0" w:color="auto"/>
        <w:left w:val="none" w:sz="0" w:space="0" w:color="auto"/>
        <w:bottom w:val="none" w:sz="0" w:space="0" w:color="auto"/>
        <w:right w:val="none" w:sz="0" w:space="0" w:color="auto"/>
      </w:divBdr>
    </w:div>
    <w:div w:id="137180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2011-04-28T03:04:00Z</dcterms:created>
  <dcterms:modified xsi:type="dcterms:W3CDTF">2011-04-28T03:04:00Z</dcterms:modified>
</cp:coreProperties>
</file>